
<file path=[Content_Types].xml><?xml version="1.0" encoding="utf-8"?>
<Types xmlns="http://schemas.openxmlformats.org/package/2006/content-types">
  <Default ContentType="image/jpeg" Extension="jpg"/>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59" w:lineRule="auto"/>
        <w:rPr>
          <w:rFonts w:ascii="Calibri" w:cs="Calibri" w:eastAsia="Calibri" w:hAnsi="Calibri"/>
        </w:rPr>
      </w:pPr>
      <w:r w:rsidDel="00000000" w:rsidR="00000000" w:rsidRPr="00000000">
        <w:rPr>
          <w:rFonts w:ascii="Calibri" w:cs="Calibri" w:eastAsia="Calibri" w:hAnsi="Calibri"/>
          <w:b w:val="1"/>
          <w:bCs w:val="1"/>
          <w:rtl w:val="0"/>
        </w:rPr>
        <w:br w:type="textWrapping"/>
        <w:t xml:space="preserve">Achyuth Krishna</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-38099</wp:posOffset>
            </wp:positionH>
            <wp:positionV relativeFrom="paragraph">
              <wp:posOffset>114300</wp:posOffset>
            </wp:positionV>
            <wp:extent cx="1576388" cy="2077410"/>
            <wp:effectExtent b="0" l="0" r="0" t="0"/>
            <wp:wrapSquare wrapText="bothSides" distB="114300" distT="114300" distL="114300" distR="114300"/>
            <wp:docPr id="2" name="image2.jpg"/>
            <a:graphic>
              <a:graphicData uri="http://schemas.openxmlformats.org/drawingml/2006/picture">
                <pic:pic>
                  <pic:nvPicPr>
                    <pic:cNvPr id="0" name="image2.jpg"/>
                    <pic:cNvPicPr preferRelativeResize="0"/>
                  </pic:nvPicPr>
                  <pic:blipFill>
                    <a:blip r:embed="rId6"/>
                    <a:srcRect b="21788" l="15024" r="19351" t="10829"/>
                    <a:stretch>
                      <a:fillRect/>
                    </a:stretch>
                  </pic:blipFill>
                  <pic:spPr>
                    <a:xfrm>
                      <a:off x="0" y="0"/>
                      <a:ext cx="1576388" cy="2077410"/>
                    </a:xfrm>
                    <a:prstGeom prst="rect"/>
                    <a:ln/>
                  </pic:spPr>
                </pic:pic>
              </a:graphicData>
            </a:graphic>
          </wp:anchor>
        </w:drawing>
      </w:r>
    </w:p>
    <w:p w:rsidR="00000000" w:rsidDel="00000000" w:rsidP="00000000" w:rsidRDefault="00000000" w:rsidRPr="00000000" w14:paraId="00000002">
      <w:pPr>
        <w:spacing w:after="0" w:line="259"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Head of IT, Information Security and Procurement, Whatfix</w:t>
      </w:r>
    </w:p>
    <w:p w:rsidR="00000000" w:rsidDel="00000000" w:rsidP="00000000" w:rsidRDefault="00000000" w:rsidRPr="00000000" w14:paraId="00000003">
      <w:pPr>
        <w:spacing w:after="0" w:line="259"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4">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Achyuth is the Head of IT, Information Security and Procurement</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at Whatfix. He also serves as the designated Data Protection Officer. </w:t>
      </w:r>
      <w:r w:rsidDel="00000000" w:rsidR="00000000" w:rsidRPr="00000000">
        <w:rPr>
          <w:rFonts w:ascii="Calibri" w:cs="Calibri" w:eastAsia="Calibri" w:hAnsi="Calibri"/>
          <w:rtl w:val="0"/>
        </w:rPr>
        <w:t xml:space="preserve">Achyuth</w:t>
      </w:r>
      <w:r w:rsidDel="00000000" w:rsidR="00000000" w:rsidRPr="00000000">
        <w:rPr>
          <w:rFonts w:ascii="Calibri" w:cs="Calibri" w:eastAsia="Calibri" w:hAnsi="Calibri"/>
          <w:rtl w:val="0"/>
        </w:rPr>
        <w:t xml:space="preserve"> oversees the  IT and Information Security functions, ensuring the security and efficiency of the company's digital infrastructure. Based in India, he drives the strategy and vision for information security and IT operations, with a focus on safeguarding customer data, enhancing system security, and supporting the organization's overall technology goals. Achyuth is responsible for leading teams that manage cybersecurity, data protection, IT infrastructure, and compliance across the company.</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Achyuth brings over 18 years of experience in application and systems engineering and is skilled in Embedded software, Cisco IOS, C++, JAVA, DevOps, and Cloud architecture. Prior to Whatfix, he worked with Cisco as a Technical Lead and at Huawei as a Software Engineer. </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Master's in Computer Science | NCSU, Raleigh, USA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Personal Philosophy:</w:t>
      </w:r>
      <w:r w:rsidDel="00000000" w:rsidR="00000000" w:rsidRPr="00000000">
        <w:rPr>
          <w:rFonts w:ascii="Calibri" w:cs="Calibri" w:eastAsia="Calibri" w:hAnsi="Calibri"/>
          <w:rtl w:val="0"/>
        </w:rPr>
        <w:t xml:space="preserve"> Work hard, be grateful, treat people with respect, and don't hesitate to say “sorry” or “thank you”.</w:t>
      </w:r>
      <w:r w:rsidDel="00000000" w:rsidR="00000000" w:rsidRPr="00000000">
        <w:rPr>
          <w:rtl w:val="0"/>
        </w:rPr>
      </w:r>
    </w:p>
    <w:sectPr>
      <w:headerReference r:id="rId7" w:type="default"/>
      <w:headerReference r:id="rId8" w:type="firs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